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A6794" w:rsidP="00FA6794" w:rsidRDefault="0007179C" w14:paraId="3409F992" wp14:textId="77777777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5424B9">
        <w:rPr>
          <w:rFonts w:asciiTheme="majorHAnsi" w:hAnsiTheme="majorHAnsi" w:cstheme="majorHAnsi"/>
          <w:b/>
        </w:rPr>
        <w:t>PROJECT CO</w:t>
      </w:r>
      <w:r w:rsidR="00FA6794">
        <w:rPr>
          <w:rFonts w:asciiTheme="majorHAnsi" w:hAnsiTheme="majorHAnsi" w:cstheme="majorHAnsi"/>
          <w:b/>
        </w:rPr>
        <w:t>-</w:t>
      </w:r>
      <w:r w:rsidRPr="005424B9">
        <w:rPr>
          <w:rFonts w:asciiTheme="majorHAnsi" w:hAnsiTheme="majorHAnsi" w:cstheme="majorHAnsi"/>
          <w:b/>
        </w:rPr>
        <w:t xml:space="preserve">FUNDED </w:t>
      </w:r>
      <w:r w:rsidR="00FA6794">
        <w:rPr>
          <w:rFonts w:asciiTheme="majorHAnsi" w:hAnsiTheme="majorHAnsi" w:cstheme="majorHAnsi"/>
          <w:b/>
        </w:rPr>
        <w:t>BY</w:t>
      </w:r>
      <w:r w:rsidRPr="005424B9">
        <w:rPr>
          <w:rFonts w:asciiTheme="majorHAnsi" w:hAnsiTheme="majorHAnsi" w:cstheme="majorHAnsi"/>
          <w:b/>
        </w:rPr>
        <w:t xml:space="preserve"> EUROPEAN REGIONAL DEVELOPMENT FUNDS</w:t>
      </w:r>
      <w:r w:rsidR="00FA6794">
        <w:rPr>
          <w:rFonts w:asciiTheme="majorHAnsi" w:hAnsiTheme="majorHAnsi" w:cstheme="majorHAnsi"/>
          <w:b/>
        </w:rPr>
        <w:t xml:space="preserve"> (ERDF)</w:t>
      </w:r>
    </w:p>
    <w:p xmlns:wp14="http://schemas.microsoft.com/office/word/2010/wordml" w:rsidRPr="005424B9" w:rsidR="005424B9" w:rsidP="005424B9" w:rsidRDefault="005424B9" w14:paraId="672A6659" wp14:textId="77777777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xmlns:wp14="http://schemas.microsoft.com/office/word/2010/wordml" w:rsidR="00FA6794" w:rsidP="3A26752A" w:rsidRDefault="0007179C" w14:paraId="4695D355" wp14:textId="5A86AB64">
      <w:pPr>
        <w:spacing w:line="360" w:lineRule="auto"/>
        <w:jc w:val="both"/>
        <w:rPr>
          <w:rFonts w:ascii="Calibri Light" w:hAnsi="Calibri Light" w:cs="Calibri Light" w:asciiTheme="majorAscii" w:hAnsiTheme="majorAscii" w:cstheme="majorAscii"/>
        </w:rPr>
      </w:pPr>
      <w:r w:rsidRPr="3A26752A" w:rsidR="0007179C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Lead Researcher: </w:t>
      </w:r>
      <w:r w:rsidRPr="3A26752A" w:rsidR="0007179C">
        <w:rPr>
          <w:rFonts w:ascii="Calibri Light" w:hAnsi="Calibri Light" w:cs="Calibri Light" w:asciiTheme="majorAscii" w:hAnsiTheme="majorAscii" w:cstheme="majorAscii"/>
        </w:rPr>
        <w:t>Dr.</w:t>
      </w:r>
      <w:r w:rsidRPr="3A26752A" w:rsidR="0007179C">
        <w:rPr>
          <w:rFonts w:ascii="Calibri Light" w:hAnsi="Calibri Light" w:cs="Calibri Light" w:asciiTheme="majorAscii" w:hAnsiTheme="majorAscii" w:cstheme="majorAscii"/>
        </w:rPr>
        <w:t xml:space="preserve"> Domingo Barber Hernández </w:t>
      </w:r>
    </w:p>
    <w:p xmlns:wp14="http://schemas.microsoft.com/office/word/2010/wordml" w:rsidRPr="00FA6794" w:rsidR="0007179C" w:rsidP="005424B9" w:rsidRDefault="0007179C" w14:paraId="0CA8858E" wp14:textId="77777777">
      <w:pPr>
        <w:spacing w:line="360" w:lineRule="auto"/>
        <w:jc w:val="both"/>
        <w:rPr>
          <w:rFonts w:asciiTheme="majorHAnsi" w:hAnsiTheme="majorHAnsi" w:cstheme="majorHAnsi"/>
        </w:rPr>
      </w:pPr>
      <w:bookmarkStart w:name="_GoBack" w:id="0"/>
      <w:bookmarkEnd w:id="0"/>
      <w:r w:rsidRPr="00FA6794">
        <w:rPr>
          <w:rFonts w:asciiTheme="majorHAnsi" w:hAnsiTheme="majorHAnsi" w:cstheme="majorHAnsi"/>
          <w:b/>
          <w:sz w:val="24"/>
          <w:szCs w:val="24"/>
        </w:rPr>
        <w:t>Reference</w:t>
      </w:r>
      <w:r w:rsidRPr="00FA6794">
        <w:rPr>
          <w:rFonts w:asciiTheme="majorHAnsi" w:hAnsiTheme="majorHAnsi" w:cstheme="majorHAnsi"/>
          <w:sz w:val="24"/>
          <w:szCs w:val="24"/>
        </w:rPr>
        <w:t xml:space="preserve">: </w:t>
      </w:r>
      <w:r w:rsidRPr="00FA6794">
        <w:rPr>
          <w:rFonts w:asciiTheme="majorHAnsi" w:hAnsiTheme="majorHAnsi" w:cstheme="majorHAnsi"/>
        </w:rPr>
        <w:t>RD16/0006/0015</w:t>
      </w:r>
    </w:p>
    <w:p xmlns:wp14="http://schemas.microsoft.com/office/word/2010/wordml" w:rsidRPr="00FA6794" w:rsidR="0007179C" w:rsidP="005424B9" w:rsidRDefault="0007179C" w14:paraId="239F0F39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6794">
        <w:rPr>
          <w:rFonts w:asciiTheme="majorHAnsi" w:hAnsiTheme="majorHAnsi" w:cstheme="majorHAnsi"/>
          <w:b/>
          <w:sz w:val="24"/>
          <w:szCs w:val="24"/>
        </w:rPr>
        <w:t>Title</w:t>
      </w:r>
      <w:r w:rsidRPr="00FA6794">
        <w:rPr>
          <w:rFonts w:asciiTheme="majorHAnsi" w:hAnsiTheme="majorHAnsi" w:cstheme="majorHAnsi"/>
          <w:sz w:val="24"/>
          <w:szCs w:val="24"/>
        </w:rPr>
        <w:t>: ‘Asthma, adverse and allergic reactions’ (</w:t>
      </w:r>
      <w:proofErr w:type="spellStart"/>
      <w:r w:rsidRPr="00FA6794">
        <w:rPr>
          <w:rFonts w:asciiTheme="majorHAnsi" w:hAnsiTheme="majorHAnsi" w:cstheme="majorHAnsi"/>
        </w:rPr>
        <w:t>Asma</w:t>
      </w:r>
      <w:proofErr w:type="spellEnd"/>
      <w:r w:rsidRPr="00FA6794">
        <w:rPr>
          <w:rFonts w:asciiTheme="majorHAnsi" w:hAnsiTheme="majorHAnsi" w:cstheme="majorHAnsi"/>
        </w:rPr>
        <w:t xml:space="preserve">, </w:t>
      </w:r>
      <w:proofErr w:type="spellStart"/>
      <w:r w:rsidRPr="00FA6794">
        <w:rPr>
          <w:rFonts w:asciiTheme="majorHAnsi" w:hAnsiTheme="majorHAnsi" w:cstheme="majorHAnsi"/>
        </w:rPr>
        <w:t>reacciones</w:t>
      </w:r>
      <w:proofErr w:type="spellEnd"/>
      <w:r w:rsidRPr="00FA6794">
        <w:rPr>
          <w:rFonts w:asciiTheme="majorHAnsi" w:hAnsiTheme="majorHAnsi" w:cstheme="majorHAnsi"/>
        </w:rPr>
        <w:t xml:space="preserve"> </w:t>
      </w:r>
      <w:proofErr w:type="spellStart"/>
      <w:r w:rsidRPr="00FA6794">
        <w:rPr>
          <w:rFonts w:asciiTheme="majorHAnsi" w:hAnsiTheme="majorHAnsi" w:cstheme="majorHAnsi"/>
        </w:rPr>
        <w:t>adversas</w:t>
      </w:r>
      <w:proofErr w:type="spellEnd"/>
      <w:r w:rsidRPr="00FA6794">
        <w:rPr>
          <w:rFonts w:asciiTheme="majorHAnsi" w:hAnsiTheme="majorHAnsi" w:cstheme="majorHAnsi"/>
        </w:rPr>
        <w:t xml:space="preserve"> y </w:t>
      </w:r>
      <w:proofErr w:type="spellStart"/>
      <w:proofErr w:type="gramStart"/>
      <w:r w:rsidRPr="00FA6794">
        <w:rPr>
          <w:rFonts w:asciiTheme="majorHAnsi" w:hAnsiTheme="majorHAnsi" w:cstheme="majorHAnsi"/>
        </w:rPr>
        <w:t>alérgicas</w:t>
      </w:r>
      <w:proofErr w:type="spellEnd"/>
      <w:r w:rsidRPr="00FA6794">
        <w:rPr>
          <w:rFonts w:asciiTheme="majorHAnsi" w:hAnsiTheme="majorHAnsi" w:cstheme="majorHAnsi"/>
        </w:rPr>
        <w:t xml:space="preserve"> ,</w:t>
      </w:r>
      <w:proofErr w:type="gramEnd"/>
      <w:r w:rsidRPr="00FA6794">
        <w:rPr>
          <w:rFonts w:asciiTheme="majorHAnsi" w:hAnsiTheme="majorHAnsi" w:cstheme="majorHAnsi"/>
        </w:rPr>
        <w:t xml:space="preserve"> ARADYAL)</w:t>
      </w:r>
    </w:p>
    <w:p xmlns:wp14="http://schemas.microsoft.com/office/word/2010/wordml" w:rsidRPr="00FA6794" w:rsidR="0007179C" w:rsidP="005424B9" w:rsidRDefault="0007179C" w14:paraId="0B59E173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A6794">
        <w:rPr>
          <w:rFonts w:asciiTheme="majorHAnsi" w:hAnsiTheme="majorHAnsi" w:cstheme="majorHAnsi"/>
          <w:b/>
          <w:sz w:val="24"/>
          <w:szCs w:val="24"/>
        </w:rPr>
        <w:t>Financing Entity:</w:t>
      </w:r>
      <w:r w:rsidRPr="00FA6794">
        <w:rPr>
          <w:rFonts w:asciiTheme="majorHAnsi" w:hAnsiTheme="majorHAnsi" w:cstheme="majorHAnsi"/>
          <w:sz w:val="24"/>
          <w:szCs w:val="24"/>
        </w:rPr>
        <w:t xml:space="preserve"> Spanish </w:t>
      </w:r>
      <w:r w:rsidRPr="00FA679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Ministry</w:t>
      </w:r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 of </w:t>
      </w:r>
      <w:r w:rsidRPr="00FA679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Economy</w:t>
      </w:r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FA679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Industry</w:t>
      </w:r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proofErr w:type="spellStart"/>
      <w:r w:rsidRPr="00FA6794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Competitivity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Ministerio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Industria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Economía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y 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Competitividad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)</w:t>
      </w:r>
      <w:proofErr w:type="gram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;</w:t>
      </w:r>
      <w:proofErr w:type="gram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European Regional Development Fund (ERDF) and Spanish State Research Agency (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Agencia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Estatal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Investigación</w:t>
      </w:r>
      <w:proofErr w:type="spellEnd"/>
      <w:r w:rsidRPr="00FA6794">
        <w:rPr>
          <w:rFonts w:asciiTheme="majorHAnsi" w:hAnsiTheme="majorHAnsi" w:cstheme="majorHAnsi"/>
          <w:sz w:val="24"/>
          <w:szCs w:val="24"/>
          <w:shd w:val="clear" w:color="auto" w:fill="FFFFFF"/>
        </w:rPr>
        <w:t>).</w:t>
      </w:r>
    </w:p>
    <w:p xmlns:wp14="http://schemas.microsoft.com/office/word/2010/wordml" w:rsidRPr="005424B9" w:rsidR="0007179C" w:rsidP="005424B9" w:rsidRDefault="0007179C" w14:paraId="512EF44A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424B9">
        <w:rPr>
          <w:rFonts w:asciiTheme="majorHAnsi" w:hAnsiTheme="majorHAnsi" w:cstheme="majorHAnsi"/>
          <w:b/>
          <w:sz w:val="24"/>
          <w:szCs w:val="24"/>
        </w:rPr>
        <w:t>Total amount</w:t>
      </w:r>
      <w:r w:rsidRPr="005424B9">
        <w:rPr>
          <w:rFonts w:asciiTheme="majorHAnsi" w:hAnsiTheme="majorHAnsi" w:cstheme="majorHAnsi"/>
          <w:sz w:val="24"/>
          <w:szCs w:val="24"/>
        </w:rPr>
        <w:t xml:space="preserve">: </w:t>
      </w:r>
      <w:r w:rsidRPr="005424B9">
        <w:rPr>
          <w:rFonts w:asciiTheme="majorHAnsi" w:hAnsiTheme="majorHAnsi" w:cstheme="majorHAnsi"/>
        </w:rPr>
        <w:t xml:space="preserve">92. 565 </w:t>
      </w:r>
      <w:r w:rsidRPr="005424B9">
        <w:rPr>
          <w:rFonts w:asciiTheme="majorHAnsi" w:hAnsiTheme="majorHAnsi" w:cstheme="majorHAnsi"/>
          <w:sz w:val="24"/>
          <w:szCs w:val="24"/>
        </w:rPr>
        <w:t>€</w:t>
      </w:r>
    </w:p>
    <w:p xmlns:wp14="http://schemas.microsoft.com/office/word/2010/wordml" w:rsidRPr="005424B9" w:rsidR="0007179C" w:rsidP="005424B9" w:rsidRDefault="0007179C" w14:paraId="76F4DC42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424B9">
        <w:rPr>
          <w:rFonts w:asciiTheme="majorHAnsi" w:hAnsiTheme="majorHAnsi" w:cstheme="majorHAnsi"/>
          <w:b/>
          <w:sz w:val="24"/>
          <w:szCs w:val="24"/>
        </w:rPr>
        <w:t>Start date</w:t>
      </w:r>
      <w:r w:rsidRPr="005424B9">
        <w:rPr>
          <w:rFonts w:asciiTheme="majorHAnsi" w:hAnsiTheme="majorHAnsi" w:cstheme="majorHAnsi"/>
          <w:sz w:val="24"/>
          <w:szCs w:val="24"/>
        </w:rPr>
        <w:t>: 01/01/2017</w:t>
      </w:r>
    </w:p>
    <w:p xmlns:wp14="http://schemas.microsoft.com/office/word/2010/wordml" w:rsidRPr="005424B9" w:rsidR="0007179C" w:rsidP="005424B9" w:rsidRDefault="0007179C" w14:paraId="1B38A601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424B9">
        <w:rPr>
          <w:rFonts w:asciiTheme="majorHAnsi" w:hAnsiTheme="majorHAnsi" w:cstheme="majorHAnsi"/>
          <w:b/>
          <w:sz w:val="24"/>
          <w:szCs w:val="24"/>
        </w:rPr>
        <w:t>End date</w:t>
      </w:r>
      <w:r w:rsidRPr="005424B9">
        <w:rPr>
          <w:rFonts w:asciiTheme="majorHAnsi" w:hAnsiTheme="majorHAnsi" w:cstheme="majorHAnsi"/>
          <w:sz w:val="24"/>
          <w:szCs w:val="24"/>
        </w:rPr>
        <w:t>: 31/12/2019</w:t>
      </w:r>
    </w:p>
    <w:p xmlns:wp14="http://schemas.microsoft.com/office/word/2010/wordml" w:rsidRPr="00FA6794" w:rsidR="0007179C" w:rsidP="005424B9" w:rsidRDefault="0007179C" w14:paraId="5FC9DD56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A6794">
        <w:rPr>
          <w:rFonts w:asciiTheme="majorHAnsi" w:hAnsiTheme="majorHAnsi" w:cstheme="majorHAnsi"/>
          <w:b/>
          <w:sz w:val="24"/>
          <w:szCs w:val="24"/>
        </w:rPr>
        <w:t>Summary:</w:t>
      </w:r>
    </w:p>
    <w:p xmlns:wp14="http://schemas.microsoft.com/office/word/2010/wordml" w:rsidRPr="005424B9" w:rsidR="0007179C" w:rsidP="005424B9" w:rsidRDefault="0007179C" w14:paraId="4B6A31E2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424B9">
        <w:rPr>
          <w:rFonts w:asciiTheme="majorHAnsi" w:hAnsiTheme="majorHAnsi" w:cstheme="majorHAnsi"/>
          <w:sz w:val="24"/>
          <w:szCs w:val="24"/>
        </w:rPr>
        <w:t xml:space="preserve">ARADYAL is a thematic network of translational cooperative health research (RETICS), which combines innovative approaches in the areas of immunology, genetics, </w:t>
      </w:r>
      <w:proofErr w:type="spellStart"/>
      <w:r w:rsidRPr="005424B9">
        <w:rPr>
          <w:rFonts w:asciiTheme="majorHAnsi" w:hAnsiTheme="majorHAnsi" w:cstheme="majorHAnsi"/>
          <w:sz w:val="24"/>
          <w:szCs w:val="24"/>
        </w:rPr>
        <w:t>nanomedicine</w:t>
      </w:r>
      <w:proofErr w:type="spellEnd"/>
      <w:r w:rsidRPr="005424B9">
        <w:rPr>
          <w:rFonts w:asciiTheme="majorHAnsi" w:hAnsiTheme="majorHAnsi" w:cstheme="majorHAnsi"/>
          <w:sz w:val="24"/>
          <w:szCs w:val="24"/>
        </w:rPr>
        <w:t>, pharmacology and chemistry, with special interest in the research of new biomarkers and the design and evaluation of new intervention strategies in allergic patients with severe phenotypes.</w:t>
      </w:r>
    </w:p>
    <w:sectPr w:rsidRPr="005424B9" w:rsidR="0007179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C"/>
    <w:rsid w:val="0007179C"/>
    <w:rsid w:val="00261596"/>
    <w:rsid w:val="0038310F"/>
    <w:rsid w:val="005424B9"/>
    <w:rsid w:val="00822D88"/>
    <w:rsid w:val="00FA6794"/>
    <w:rsid w:val="3A2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23C"/>
  <w15:chartTrackingRefBased/>
  <w15:docId w15:val="{40D461F4-454F-4F8A-AAB5-57E04C981F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71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Oficina Internacional 1</dc:creator>
  <keywords/>
  <dc:description/>
  <lastModifiedBy>Oficina Internacional 1</lastModifiedBy>
  <revision>4</revision>
  <dcterms:created xsi:type="dcterms:W3CDTF">2022-02-23T11:03:00.0000000Z</dcterms:created>
  <dcterms:modified xsi:type="dcterms:W3CDTF">2022-02-28T12:09:58.7356672Z</dcterms:modified>
</coreProperties>
</file>