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D1FF60B" w14:paraId="70A8DC44" wp14:textId="5FF07D04">
      <w:pPr>
        <w:spacing w:after="160" w:line="36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PROJECT CO-FUNDED BY EUROPEAN REGIONAL DEVELOPMENT FUNDS (ERDF)</w:t>
      </w:r>
    </w:p>
    <w:p xmlns:wp14="http://schemas.microsoft.com/office/word/2010/wordml" w:rsidP="6D1FF60B" w14:paraId="2E918A3D" wp14:textId="321C6E48">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p>
    <w:p xmlns:wp14="http://schemas.microsoft.com/office/word/2010/wordml" w:rsidP="6D1FF60B" w14:paraId="2F716B5C" wp14:textId="1215DF54">
      <w:pPr>
        <w:pStyle w:val="Normal"/>
        <w:spacing w:after="160" w:line="360" w:lineRule="auto"/>
        <w:jc w:val="both"/>
        <w:rPr>
          <w:rFonts w:ascii="Calibri Light" w:hAnsi="Calibri Light" w:eastAsia="Calibri Light" w:cs="Calibri Light"/>
          <w:noProof w:val="0"/>
          <w:sz w:val="24"/>
          <w:szCs w:val="24"/>
          <w:lang w:val="en-GB"/>
        </w:rPr>
      </w:pPr>
      <w:r w:rsidRPr="61661558"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 xml:space="preserve">Lead Researcher: </w:t>
      </w:r>
      <w:r w:rsidRPr="61661558" w:rsidR="6D1FF60B">
        <w:rPr>
          <w:rFonts w:ascii="Calibri Light" w:hAnsi="Calibri Light" w:eastAsia="Calibri Light" w:cs="Calibri Light"/>
          <w:noProof w:val="0"/>
          <w:sz w:val="24"/>
          <w:szCs w:val="24"/>
          <w:lang w:val="en-GB"/>
        </w:rPr>
        <w:t>Dr.</w:t>
      </w:r>
      <w:r w:rsidRPr="61661558" w:rsidR="6D1FF60B">
        <w:rPr>
          <w:rFonts w:ascii="Calibri Light" w:hAnsi="Calibri Light" w:eastAsia="Calibri Light" w:cs="Calibri Light"/>
          <w:noProof w:val="0"/>
          <w:sz w:val="24"/>
          <w:szCs w:val="24"/>
          <w:lang w:val="en-GB"/>
        </w:rPr>
        <w:t xml:space="preserve"> Domingo Barber Hernández</w:t>
      </w:r>
    </w:p>
    <w:p xmlns:wp14="http://schemas.microsoft.com/office/word/2010/wordml" w:rsidP="6D1FF60B" w14:paraId="01A918CB" wp14:textId="35EA2736">
      <w:pPr>
        <w:pStyle w:val="Normal"/>
        <w:spacing w:after="160" w:line="360" w:lineRule="auto"/>
        <w:jc w:val="both"/>
        <w:rPr>
          <w:rFonts w:ascii="Calibri Light" w:hAnsi="Calibri Light" w:eastAsia="Calibri Light" w:cs="Calibri Light"/>
          <w:noProof w:val="0"/>
          <w:sz w:val="24"/>
          <w:szCs w:val="24"/>
          <w:lang w:val="en-GB"/>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Reference</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r w:rsidRPr="6D1FF60B" w:rsidR="6D1FF60B">
        <w:rPr>
          <w:rFonts w:ascii="Calibri Light" w:hAnsi="Calibri Light" w:eastAsia="Calibri Light" w:cs="Calibri Light"/>
          <w:noProof w:val="0"/>
          <w:sz w:val="24"/>
          <w:szCs w:val="24"/>
          <w:lang w:val="en-GB"/>
        </w:rPr>
        <w:t>PI13/00477</w:t>
      </w:r>
    </w:p>
    <w:p xmlns:wp14="http://schemas.microsoft.com/office/word/2010/wordml" w:rsidP="045693B0" w14:paraId="1A57920A" wp14:textId="2C0FDF0C">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045693B0"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Title</w:t>
      </w:r>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‘Biomarkers of severity in food-allergic pathology linked to respiratory allergy’ (Biomarcadores de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gravedad</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en</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patología</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alérgica</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alimentaria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ligada</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gram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w:t>
      </w:r>
      <w:proofErr w:type="gram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alergia</w:t>
      </w:r>
      <w:proofErr w:type="spellEnd"/>
      <w:r w:rsidRPr="045693B0"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respiratoria)</w:t>
      </w:r>
    </w:p>
    <w:p xmlns:wp14="http://schemas.microsoft.com/office/word/2010/wordml" w:rsidP="6D1FF60B" w14:paraId="0517F13A" wp14:textId="2C080D4C">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Financing Entity:</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Carlos III Health Institute (Instituto de Salud Carlos III)</w:t>
      </w:r>
    </w:p>
    <w:p xmlns:wp14="http://schemas.microsoft.com/office/word/2010/wordml" w:rsidP="6D1FF60B" w14:paraId="34CE0AE0" wp14:textId="065E2F5D">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Total amount</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79.860 €</w:t>
      </w:r>
    </w:p>
    <w:p xmlns:wp14="http://schemas.microsoft.com/office/word/2010/wordml" w:rsidP="6D1FF60B" w14:paraId="6EB3F87E" wp14:textId="3F5D1CFD">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Start date</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01/01/2014</w:t>
      </w:r>
    </w:p>
    <w:p xmlns:wp14="http://schemas.microsoft.com/office/word/2010/wordml" w:rsidP="6D1FF60B" w14:paraId="394ECB4C" wp14:textId="48E09880">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End date</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31/12/2016</w:t>
      </w:r>
    </w:p>
    <w:p xmlns:wp14="http://schemas.microsoft.com/office/word/2010/wordml" w:rsidP="6D1FF60B" w14:paraId="3A6525CE" wp14:textId="00B0FAA0">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6D1FF60B" w:rsidR="6D1FF60B">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Summary:</w:t>
      </w:r>
    </w:p>
    <w:p xmlns:wp14="http://schemas.microsoft.com/office/word/2010/wordml" w:rsidP="6D1FF60B" w14:paraId="5C1A07E2" wp14:textId="0C49475C">
      <w:pPr>
        <w:pStyle w:val="Normal"/>
        <w:spacing w:after="160" w:line="360" w:lineRule="auto"/>
        <w:jc w:val="both"/>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Allergic pathologies have shown a progressive increase both in terms of incidence, affecting more than 25% of the population, and of severity, with an increase in food allergies and bronchial asthma.</w:t>
      </w:r>
    </w:p>
    <w:p w:rsidR="6D1FF60B" w:rsidP="6D1FF60B" w:rsidRDefault="6D1FF60B" w14:paraId="053F10CD" w14:textId="335A6F77">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Certain patients progress from respiratory allergy to severe allergy mediated by food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containing</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allergens common to pollen. Our aim is to investigate the relationship between respiratory allergy, food allergy and food allergy severity. The goal is to be able to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identify</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subjects who are susceptible to develop severe food pathologies and who also present significant reactions during treatment with immunotherapy. The working hypothesis is that patients have alterations in the barrier function of the oral epithelium. Oral epithelium biopsies will be </w:t>
      </w:r>
      <w:proofErr w:type="gramStart"/>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taken</w:t>
      </w:r>
      <w:proofErr w:type="gramEnd"/>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and histological determinations will be performed to analyse the differences between the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different groups</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of patients (integrity, cellular infiltration, receptor-bound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transport</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and dendritic cell polarisation). The sensitivity of basophils and different gene expression profiles will also be analysed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to</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identify</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biomarkers to </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identify</w:t>
      </w:r>
      <w:r w:rsidRPr="6D1FF60B" w:rsidR="6D1FF6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this type of patients. </w:t>
      </w:r>
    </w:p>
    <w:p w:rsidR="6D1FF60B" w:rsidP="6D1FF60B" w:rsidRDefault="6D1FF60B" w14:paraId="1DE0EA9F" w14:textId="4A235BE2">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4C5FBA"/>
    <w:rsid w:val="02EB7B9D"/>
    <w:rsid w:val="045693B0"/>
    <w:rsid w:val="06231C5F"/>
    <w:rsid w:val="0A472A06"/>
    <w:rsid w:val="0A472A06"/>
    <w:rsid w:val="0AF724FA"/>
    <w:rsid w:val="0AF724FA"/>
    <w:rsid w:val="1639D7A1"/>
    <w:rsid w:val="19717863"/>
    <w:rsid w:val="1D831C43"/>
    <w:rsid w:val="224C5FBA"/>
    <w:rsid w:val="2BFE0724"/>
    <w:rsid w:val="2D74BDB5"/>
    <w:rsid w:val="537C1858"/>
    <w:rsid w:val="56B3B91A"/>
    <w:rsid w:val="5EBECAFF"/>
    <w:rsid w:val="5EBECAFF"/>
    <w:rsid w:val="61661558"/>
    <w:rsid w:val="6D1FF60B"/>
    <w:rsid w:val="7532F576"/>
    <w:rsid w:val="7BA23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DD47"/>
  <w15:chartTrackingRefBased/>
  <w15:docId w15:val="{93234042-C404-40A1-BF7D-2B8D1E4739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2022-02-28T08:31:09.9094891Z</dcterms:created>
  <dcterms:modified xsi:type="dcterms:W3CDTF">2022-03-01T08:32:44.2057872Z</dcterms:modified>
  <dc:creator>Oficina Internacional 1</dc:creator>
  <lastModifiedBy>Oficina Internacional 1</lastModifiedBy>
</coreProperties>
</file>